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177"/>
        <w:gridCol w:w="601"/>
        <w:gridCol w:w="1429"/>
        <w:gridCol w:w="3540"/>
      </w:tblGrid>
      <w:tr>
        <w:trPr>
          <w:trHeight w:val="1275"/>
        </w:trPr>
        <w:tc>
          <w:tcPr>
            <w:tcW w:w="4177" w:type="dxa"/>
            <w:hideMark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«Кöрткерöс» </w:t>
            </w:r>
          </w:p>
          <w:p>
            <w:pPr>
              <w:jc w:val="center"/>
              <w:rPr>
                <w:rFonts w:cs="Times New Roman"/>
                <w:b/>
                <w:szCs w:val="20"/>
              </w:rPr>
            </w:pPr>
            <w:proofErr w:type="spellStart"/>
            <w:r>
              <w:rPr>
                <w:rFonts w:cs="Times New Roman"/>
                <w:b/>
              </w:rPr>
              <w:t>муниципальнöй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районса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Сöвет</w:t>
            </w:r>
            <w:proofErr w:type="spellEnd"/>
            <w:r>
              <w:rPr>
                <w:rFonts w:cs="Times New Roman"/>
                <w:b/>
              </w:rPr>
              <w:t xml:space="preserve">  </w:t>
            </w:r>
          </w:p>
        </w:tc>
        <w:tc>
          <w:tcPr>
            <w:tcW w:w="2030" w:type="dxa"/>
            <w:gridSpan w:val="2"/>
          </w:tcPr>
          <w:p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b/>
                <w:noProof/>
                <w:szCs w:val="28"/>
                <w:lang w:eastAsia="ru-RU"/>
              </w:rPr>
              <w:drawing>
                <wp:inline distT="0" distB="0" distL="0" distR="0">
                  <wp:extent cx="668020" cy="683895"/>
                  <wp:effectExtent l="0" t="0" r="0" b="190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540" w:type="dxa"/>
            <w:hideMark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Совет  </w:t>
            </w:r>
          </w:p>
          <w:p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/>
                <w:b/>
              </w:rPr>
              <w:t>муниципального района «Корткеросский»</w:t>
            </w:r>
          </w:p>
        </w:tc>
      </w:tr>
      <w:tr>
        <w:trPr>
          <w:trHeight w:val="690"/>
        </w:trPr>
        <w:tc>
          <w:tcPr>
            <w:tcW w:w="9747" w:type="dxa"/>
            <w:gridSpan w:val="4"/>
            <w:vAlign w:val="center"/>
            <w:hideMark/>
          </w:tcPr>
          <w:p>
            <w:pPr>
              <w:jc w:val="center"/>
              <w:rPr>
                <w:rFonts w:cs="Times New Roman"/>
                <w:sz w:val="32"/>
                <w:szCs w:val="20"/>
              </w:rPr>
            </w:pPr>
            <w:r>
              <w:rPr>
                <w:rFonts w:cs="Times New Roman"/>
                <w:b/>
                <w:sz w:val="32"/>
              </w:rPr>
              <w:t>КЫВКÖРТÖД</w:t>
            </w:r>
          </w:p>
        </w:tc>
      </w:tr>
      <w:tr>
        <w:trPr>
          <w:trHeight w:val="690"/>
        </w:trPr>
        <w:tc>
          <w:tcPr>
            <w:tcW w:w="9747" w:type="dxa"/>
            <w:gridSpan w:val="4"/>
            <w:vAlign w:val="center"/>
            <w:hideMark/>
          </w:tcPr>
          <w:p>
            <w:pPr>
              <w:keepNext/>
              <w:jc w:val="center"/>
              <w:outlineLvl w:val="3"/>
              <w:rPr>
                <w:rFonts w:eastAsia="Arial Unicode MS" w:cs="Times New Roman"/>
                <w:b/>
                <w:sz w:val="32"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 w:val="32"/>
                <w:szCs w:val="20"/>
                <w:lang w:eastAsia="ru-RU"/>
              </w:rPr>
              <w:t xml:space="preserve">РЕШЕНИЕ  </w:t>
            </w:r>
          </w:p>
        </w:tc>
      </w:tr>
      <w:tr>
        <w:trPr>
          <w:trHeight w:val="409"/>
        </w:trPr>
        <w:tc>
          <w:tcPr>
            <w:tcW w:w="4778" w:type="dxa"/>
            <w:gridSpan w:val="2"/>
            <w:vAlign w:val="center"/>
            <w:hideMark/>
          </w:tcPr>
          <w:p>
            <w:pPr>
              <w:keepNext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Cs w:val="20"/>
                <w:lang w:eastAsia="ru-RU"/>
              </w:rPr>
              <w:t>17.04.2026</w:t>
            </w:r>
          </w:p>
        </w:tc>
        <w:tc>
          <w:tcPr>
            <w:tcW w:w="4969" w:type="dxa"/>
            <w:gridSpan w:val="2"/>
            <w:vAlign w:val="center"/>
            <w:hideMark/>
          </w:tcPr>
          <w:p>
            <w:pPr>
              <w:keepNext/>
              <w:ind w:right="-675"/>
              <w:jc w:val="center"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Cs w:val="20"/>
                <w:lang w:eastAsia="ru-RU"/>
              </w:rPr>
              <w:t xml:space="preserve">                             № </w:t>
            </w:r>
            <w:r>
              <w:rPr>
                <w:rFonts w:eastAsia="Arial Unicode MS" w:cs="Times New Roman"/>
                <w:b/>
                <w:szCs w:val="20"/>
                <w:lang w:val="en-US" w:eastAsia="ru-RU"/>
              </w:rPr>
              <w:t>VIII-6/</w:t>
            </w:r>
            <w:r>
              <w:rPr>
                <w:rFonts w:eastAsia="Arial Unicode MS" w:cs="Times New Roman"/>
                <w:b/>
                <w:szCs w:val="20"/>
                <w:lang w:eastAsia="ru-RU"/>
              </w:rPr>
              <w:t>5</w:t>
            </w:r>
          </w:p>
        </w:tc>
      </w:tr>
      <w:tr>
        <w:trPr>
          <w:trHeight w:val="444"/>
        </w:trPr>
        <w:tc>
          <w:tcPr>
            <w:tcW w:w="9747" w:type="dxa"/>
            <w:gridSpan w:val="4"/>
            <w:vAlign w:val="center"/>
          </w:tcPr>
          <w:p>
            <w:pPr>
              <w:keepNext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</w:p>
        </w:tc>
      </w:tr>
      <w:tr>
        <w:trPr>
          <w:trHeight w:val="422"/>
        </w:trPr>
        <w:tc>
          <w:tcPr>
            <w:tcW w:w="9747" w:type="dxa"/>
            <w:gridSpan w:val="4"/>
            <w:vAlign w:val="center"/>
            <w:hideMark/>
          </w:tcPr>
          <w:p>
            <w:pPr>
              <w:keepNext/>
              <w:jc w:val="center"/>
              <w:outlineLvl w:val="3"/>
              <w:rPr>
                <w:rFonts w:eastAsia="Arial Unicode MS" w:cs="Times New Roman"/>
                <w:szCs w:val="20"/>
                <w:lang w:eastAsia="ru-RU"/>
              </w:rPr>
            </w:pPr>
            <w:r>
              <w:rPr>
                <w:rFonts w:eastAsia="Arial Unicode MS" w:cs="Times New Roman"/>
                <w:szCs w:val="20"/>
                <w:lang w:eastAsia="ru-RU"/>
              </w:rPr>
              <w:t xml:space="preserve">Республика Коми, </w:t>
            </w:r>
          </w:p>
          <w:p>
            <w:pPr>
              <w:keepNext/>
              <w:jc w:val="center"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szCs w:val="20"/>
                <w:lang w:eastAsia="ru-RU"/>
              </w:rPr>
              <w:t>Корткеросский район, с. Корткерос</w:t>
            </w:r>
          </w:p>
        </w:tc>
      </w:tr>
    </w:tbl>
    <w:p>
      <w:pPr>
        <w:jc w:val="center"/>
        <w:rPr>
          <w:rFonts w:cs="Times New Roman"/>
          <w:b/>
          <w:sz w:val="32"/>
          <w:szCs w:val="32"/>
        </w:rPr>
      </w:pPr>
    </w:p>
    <w:p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03 октября 2013 года №</w:t>
      </w:r>
      <w:r>
        <w:rPr>
          <w:rFonts w:eastAsia="Arial Unicode MS" w:cs="Times New Roman"/>
          <w:b/>
          <w:szCs w:val="20"/>
          <w:lang w:val="en-US" w:eastAsia="ru-RU"/>
        </w:rPr>
        <w:t>V</w:t>
      </w:r>
      <w:r>
        <w:rPr>
          <w:rFonts w:eastAsia="Arial Unicode MS" w:cs="Times New Roman"/>
          <w:b/>
          <w:szCs w:val="20"/>
          <w:lang w:eastAsia="ru-RU"/>
        </w:rPr>
        <w:t xml:space="preserve">- 26/6 </w:t>
      </w:r>
    </w:p>
    <w:p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«Об утверждении размеров должностных окладов, размеров ежемесячных и иных дополнительных выплат, а также порядка их осуществления муниципальным служащим администрации муниципального района «Корткеросский» </w:t>
      </w:r>
    </w:p>
    <w:p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Совет муниципального района «Корткеросский» решил:</w:t>
      </w:r>
    </w:p>
    <w:p>
      <w:pPr>
        <w:autoSpaceDE w:val="0"/>
        <w:autoSpaceDN w:val="0"/>
        <w:adjustRightInd w:val="0"/>
        <w:ind w:firstLine="708"/>
        <w:jc w:val="both"/>
        <w:rPr>
          <w:rFonts w:cs="Times New Roman"/>
          <w:sz w:val="26"/>
          <w:szCs w:val="26"/>
        </w:rPr>
      </w:pPr>
    </w:p>
    <w:p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Внести в решение Совета муниципального района «Корткеросский» от 03 октября 2013 года №</w:t>
      </w:r>
      <w:r>
        <w:rPr>
          <w:rFonts w:eastAsia="Arial Unicode MS" w:cs="Times New Roman"/>
          <w:szCs w:val="28"/>
          <w:lang w:val="en-US" w:eastAsia="ru-RU"/>
        </w:rPr>
        <w:t>V</w:t>
      </w:r>
      <w:r>
        <w:rPr>
          <w:rFonts w:eastAsia="Arial Unicode MS" w:cs="Times New Roman"/>
          <w:szCs w:val="28"/>
          <w:lang w:eastAsia="ru-RU"/>
        </w:rPr>
        <w:t xml:space="preserve">- 26/6 </w:t>
      </w:r>
      <w:r>
        <w:rPr>
          <w:rFonts w:cs="Times New Roman"/>
          <w:szCs w:val="28"/>
        </w:rPr>
        <w:t>«Об утверждении размеров должностных окладов, размеров ежемесячных и иных дополнительных выплат, а также порядка их осуществления муниципальным служащим администрации муниципального района «Кор</w:t>
      </w:r>
      <w:bookmarkStart w:id="0" w:name="_GoBack"/>
      <w:bookmarkEnd w:id="0"/>
      <w:r>
        <w:rPr>
          <w:rFonts w:cs="Times New Roman"/>
          <w:szCs w:val="28"/>
        </w:rPr>
        <w:t>ткеросский» следующие изменения:</w:t>
      </w:r>
    </w:p>
    <w:p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столбец 1 позиции 9 таблицы в пункте 2 дополнить словом «, службы»;</w:t>
      </w:r>
    </w:p>
    <w:p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столбец 1 позиции 11 таблицы приложения 1 дополнить словом </w:t>
      </w:r>
    </w:p>
    <w:p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«, службы»;</w:t>
      </w:r>
    </w:p>
    <w:p>
      <w:pPr>
        <w:ind w:firstLine="567"/>
        <w:jc w:val="both"/>
        <w:rPr>
          <w:rFonts w:cs="Times New Roman"/>
          <w:color w:val="000000" w:themeColor="text1"/>
          <w:szCs w:val="28"/>
        </w:rPr>
      </w:pPr>
      <w:r>
        <w:rPr>
          <w:szCs w:val="28"/>
        </w:rPr>
        <w:t xml:space="preserve">приложение 3 дополнить разделом 7 следующего содержания: </w:t>
      </w:r>
      <w:r>
        <w:rPr>
          <w:rFonts w:cs="Times New Roman"/>
          <w:color w:val="000000" w:themeColor="text1"/>
          <w:szCs w:val="28"/>
        </w:rPr>
        <w:t>«7. Доплата до уровня минимального размера оплаты труда.</w:t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>Муниципальным служащим, месячная заработная плата которых ниже минимального размера оплаты труда, полностью отработавшим за этот период норму рабочего времени и выполнившим нормы труда (трудовые обязанности), производятся доплата до уровня минимального размера оплаты труда.».</w:t>
      </w:r>
    </w:p>
    <w:p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2. Настоящее решение вступает в силу со дня его официального опубликования и распространяется на правоотношения, возникшие с 01 января 2026 года в части касающейся дополнения в приложение 3.  </w:t>
      </w:r>
    </w:p>
    <w:p>
      <w:pPr>
        <w:pStyle w:val="ConsPlusNormal"/>
        <w:ind w:firstLine="540"/>
        <w:jc w:val="both"/>
        <w:rPr>
          <w:szCs w:val="28"/>
        </w:rPr>
      </w:pPr>
    </w:p>
    <w:p>
      <w:pPr>
        <w:pStyle w:val="ConsPlusNormal"/>
        <w:ind w:firstLine="540"/>
        <w:jc w:val="both"/>
        <w:rPr>
          <w:szCs w:val="28"/>
        </w:rPr>
      </w:pPr>
    </w:p>
    <w:p>
      <w:pPr>
        <w:pStyle w:val="ConsPlusNormal"/>
        <w:jc w:val="both"/>
        <w:rPr>
          <w:b/>
          <w:szCs w:val="28"/>
        </w:rPr>
      </w:pPr>
      <w:r>
        <w:rPr>
          <w:b/>
          <w:szCs w:val="28"/>
        </w:rPr>
        <w:t xml:space="preserve">Глава муниципального района </w:t>
      </w:r>
    </w:p>
    <w:p>
      <w:pPr>
        <w:pStyle w:val="ConsPlusNormal"/>
        <w:jc w:val="both"/>
        <w:rPr>
          <w:b/>
          <w:szCs w:val="28"/>
        </w:rPr>
      </w:pPr>
      <w:r>
        <w:rPr>
          <w:b/>
          <w:szCs w:val="28"/>
        </w:rPr>
        <w:t>«</w:t>
      </w:r>
      <w:proofErr w:type="gramStart"/>
      <w:r>
        <w:rPr>
          <w:b/>
          <w:szCs w:val="28"/>
        </w:rPr>
        <w:t xml:space="preserve">Корткеросский»   </w:t>
      </w:r>
      <w:proofErr w:type="gramEnd"/>
      <w:r>
        <w:rPr>
          <w:b/>
          <w:szCs w:val="28"/>
        </w:rPr>
        <w:t xml:space="preserve">                                                                               </w:t>
      </w:r>
      <w:proofErr w:type="spellStart"/>
      <w:r>
        <w:rPr>
          <w:b/>
          <w:szCs w:val="28"/>
        </w:rPr>
        <w:t>К.Сажин</w:t>
      </w:r>
      <w:proofErr w:type="spellEnd"/>
      <w:r>
        <w:rPr>
          <w:b/>
          <w:szCs w:val="28"/>
        </w:rPr>
        <w:t xml:space="preserve"> </w:t>
      </w:r>
    </w:p>
    <w:p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 w:val="32"/>
          <w:szCs w:val="32"/>
          <w:lang w:eastAsia="ru-RU"/>
        </w:rPr>
      </w:pPr>
      <w:r>
        <w:rPr>
          <w:rFonts w:eastAsia="Times New Roman" w:cs="Times New Roman"/>
          <w:b/>
          <w:bCs/>
          <w:sz w:val="32"/>
          <w:szCs w:val="32"/>
          <w:lang w:eastAsia="ru-RU"/>
        </w:rPr>
        <w:t xml:space="preserve">Пояснительная записка к проекту решения Совета муниципального района «Корткеросский» </w:t>
      </w:r>
    </w:p>
    <w:p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03 октября 2013 года №</w:t>
      </w:r>
      <w:r>
        <w:rPr>
          <w:rFonts w:eastAsia="Arial Unicode MS" w:cs="Times New Roman"/>
          <w:b/>
          <w:szCs w:val="20"/>
          <w:lang w:val="en-US" w:eastAsia="ru-RU"/>
        </w:rPr>
        <w:t>V</w:t>
      </w:r>
      <w:r>
        <w:rPr>
          <w:rFonts w:eastAsia="Arial Unicode MS" w:cs="Times New Roman"/>
          <w:b/>
          <w:szCs w:val="20"/>
          <w:lang w:eastAsia="ru-RU"/>
        </w:rPr>
        <w:t xml:space="preserve">- 26/6 </w:t>
      </w:r>
    </w:p>
    <w:p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«Об утверждении размеров должностных окладов, размеров ежемесячных и иных дополнительных выплат, а также порядка их осуществления муниципальным служащим администрации муниципального района «Корткеросский» </w:t>
      </w:r>
    </w:p>
    <w:p>
      <w:pPr>
        <w:rPr>
          <w:rFonts w:cs="Times New Roman"/>
          <w:szCs w:val="28"/>
        </w:rPr>
      </w:pPr>
    </w:p>
    <w:p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Настоящий проект разработан в целях:</w:t>
      </w:r>
    </w:p>
    <w:p>
      <w:pPr>
        <w:ind w:firstLine="708"/>
        <w:jc w:val="both"/>
        <w:rPr>
          <w:rFonts w:cs="Times New Roman"/>
          <w:szCs w:val="28"/>
        </w:rPr>
      </w:pPr>
    </w:p>
    <w:p>
      <w:pPr>
        <w:pStyle w:val="a7"/>
        <w:numPr>
          <w:ilvl w:val="0"/>
          <w:numId w:val="1"/>
        </w:numPr>
        <w:ind w:left="-284" w:firstLine="38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дополнения перечня муниципальных должностей должностью руководителя службы по автоматизации, информатизации и защите информации, в связи с исключением данной должности из реестра должностей, не относящихся к должностям муниципальной службы, и включением в реестр должностей муниципальной службы;</w:t>
      </w:r>
    </w:p>
    <w:p>
      <w:pPr>
        <w:pStyle w:val="a7"/>
        <w:numPr>
          <w:ilvl w:val="0"/>
          <w:numId w:val="1"/>
        </w:numPr>
        <w:ind w:left="-284" w:firstLine="38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доведения до МРОТ заработной платы муниципальных служащих администрации. В случае принятия проекта решения отпадет необходимость принятия разовых решений Совета об установлении доплат до МРОТ индивидуально отдельным муниципальным служащим и позволить администрации района на системной основе принимать такие решения.  </w:t>
      </w:r>
    </w:p>
    <w:p>
      <w:pPr>
        <w:autoSpaceDE w:val="0"/>
        <w:autoSpaceDN w:val="0"/>
        <w:adjustRightInd w:val="0"/>
        <w:ind w:firstLine="708"/>
        <w:jc w:val="both"/>
        <w:outlineLvl w:val="0"/>
        <w:rPr>
          <w:rFonts w:eastAsia="Times New Roman" w:cs="Times New Roman"/>
          <w:bCs/>
          <w:szCs w:val="28"/>
          <w:lang w:eastAsia="ru-RU"/>
        </w:rPr>
      </w:pPr>
    </w:p>
    <w:p>
      <w:pPr>
        <w:autoSpaceDE w:val="0"/>
        <w:autoSpaceDN w:val="0"/>
        <w:adjustRightInd w:val="0"/>
        <w:ind w:firstLine="708"/>
        <w:jc w:val="both"/>
        <w:outlineLvl w:val="0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Проект подготовлен отделом организационной и кадровой работы.</w:t>
      </w:r>
    </w:p>
    <w:p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sectPr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57D58"/>
    <w:multiLevelType w:val="hybridMultilevel"/>
    <w:tmpl w:val="5672CAD0"/>
    <w:lvl w:ilvl="0" w:tplc="53C89A70">
      <w:start w:val="1"/>
      <w:numFmt w:val="decimal"/>
      <w:lvlText w:val="%1)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D514C-51BF-4954-9D75-06CD1FF7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Администрация</cp:lastModifiedBy>
  <cp:revision>10</cp:revision>
  <cp:lastPrinted>2026-04-15T06:29:00Z</cp:lastPrinted>
  <dcterms:created xsi:type="dcterms:W3CDTF">2026-04-01T09:02:00Z</dcterms:created>
  <dcterms:modified xsi:type="dcterms:W3CDTF">2026-04-15T06:32:00Z</dcterms:modified>
</cp:coreProperties>
</file>